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A237D" w14:textId="6E7EF240" w:rsidR="00807D62" w:rsidRDefault="00807D62" w:rsidP="008B352C">
      <w:pPr>
        <w:rPr>
          <w:rFonts w:ascii="Arial" w:hAnsi="Arial" w:cs="Arial"/>
          <w:b/>
          <w:bCs/>
          <w:sz w:val="24"/>
          <w:szCs w:val="24"/>
        </w:rPr>
      </w:pPr>
    </w:p>
    <w:p w14:paraId="44C5EF0C" w14:textId="2FAD7201" w:rsidR="00F85C37" w:rsidRDefault="00F85C37" w:rsidP="008B352C">
      <w:pPr>
        <w:rPr>
          <w:rFonts w:ascii="Arial" w:hAnsi="Arial" w:cs="Arial"/>
          <w:b/>
          <w:bCs/>
          <w:sz w:val="24"/>
          <w:szCs w:val="24"/>
        </w:rPr>
      </w:pPr>
    </w:p>
    <w:p w14:paraId="77B9371A" w14:textId="5D58A4C4" w:rsidR="00807D62" w:rsidRPr="0062710A" w:rsidRDefault="00807D62" w:rsidP="008B352C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 xml:space="preserve">Figure S1. Enrichment analysis and copy number variation of </w:t>
      </w:r>
      <w:proofErr w:type="spellStart"/>
      <w:r w:rsidRPr="0062710A">
        <w:rPr>
          <w:rFonts w:ascii="Arial" w:hAnsi="Arial" w:cs="Arial"/>
          <w:sz w:val="24"/>
          <w:szCs w:val="24"/>
        </w:rPr>
        <w:t>pyroptosis</w:t>
      </w:r>
      <w:proofErr w:type="spellEnd"/>
      <w:r w:rsidRPr="0062710A">
        <w:rPr>
          <w:rFonts w:ascii="Arial" w:hAnsi="Arial" w:cs="Arial"/>
          <w:sz w:val="24"/>
          <w:szCs w:val="24"/>
        </w:rPr>
        <w:t xml:space="preserve">-related regulators. (A, B) </w:t>
      </w:r>
      <w:proofErr w:type="spellStart"/>
      <w:r w:rsidRPr="0062710A">
        <w:rPr>
          <w:rFonts w:ascii="Arial" w:hAnsi="Arial" w:cs="Arial"/>
          <w:sz w:val="24"/>
          <w:szCs w:val="24"/>
        </w:rPr>
        <w:t>Metascape</w:t>
      </w:r>
      <w:proofErr w:type="spellEnd"/>
      <w:r w:rsidRPr="0062710A">
        <w:rPr>
          <w:rFonts w:ascii="Arial" w:hAnsi="Arial" w:cs="Arial"/>
          <w:sz w:val="24"/>
          <w:szCs w:val="24"/>
        </w:rPr>
        <w:t xml:space="preserve"> and GO enrichment analysis of 10 PRRs. (</w:t>
      </w:r>
      <w:r w:rsidR="00780F35" w:rsidRPr="0062710A">
        <w:rPr>
          <w:rFonts w:ascii="Arial" w:hAnsi="Arial" w:cs="Arial"/>
          <w:sz w:val="24"/>
          <w:szCs w:val="24"/>
        </w:rPr>
        <w:t>C</w:t>
      </w:r>
      <w:r w:rsidRPr="0062710A">
        <w:rPr>
          <w:rFonts w:ascii="Arial" w:hAnsi="Arial" w:cs="Arial"/>
          <w:sz w:val="24"/>
          <w:szCs w:val="24"/>
        </w:rPr>
        <w:t>) The location of CNV alteration of PRRs on chromosomes.</w:t>
      </w:r>
    </w:p>
    <w:p w14:paraId="62644E77" w14:textId="1CC9EF9D" w:rsidR="002A2AD8" w:rsidRPr="0062710A" w:rsidRDefault="002A2AD8" w:rsidP="00B6767C">
      <w:pPr>
        <w:widowControl/>
        <w:jc w:val="left"/>
        <w:rPr>
          <w:rFonts w:ascii="Arial" w:hAnsi="Arial" w:cs="Arial"/>
          <w:sz w:val="24"/>
          <w:szCs w:val="24"/>
        </w:rPr>
      </w:pPr>
    </w:p>
    <w:p w14:paraId="31F6E514" w14:textId="67BEFAAB" w:rsidR="008B352C" w:rsidRPr="0062710A" w:rsidRDefault="008B352C">
      <w:pPr>
        <w:rPr>
          <w:rFonts w:ascii="Arial" w:hAnsi="Arial" w:cs="Arial"/>
        </w:rPr>
      </w:pPr>
    </w:p>
    <w:p w14:paraId="13612C36" w14:textId="73A06C95" w:rsidR="008B352C" w:rsidRPr="0062710A" w:rsidRDefault="008B352C" w:rsidP="008B352C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>Figure S</w:t>
      </w:r>
      <w:r w:rsidR="00807D62" w:rsidRPr="0062710A">
        <w:rPr>
          <w:rFonts w:ascii="Arial" w:hAnsi="Arial" w:cs="Arial"/>
          <w:sz w:val="24"/>
          <w:szCs w:val="24"/>
        </w:rPr>
        <w:t>2</w:t>
      </w:r>
      <w:r w:rsidRPr="0062710A">
        <w:rPr>
          <w:rFonts w:ascii="Arial" w:hAnsi="Arial" w:cs="Arial"/>
          <w:sz w:val="24"/>
          <w:szCs w:val="24"/>
        </w:rPr>
        <w:t>. The difference in expression of PRRs between CASP8-wild and mutant type</w:t>
      </w:r>
      <w:r w:rsidR="00AA6BF9">
        <w:rPr>
          <w:rFonts w:ascii="Arial" w:hAnsi="Arial" w:cs="Arial"/>
          <w:sz w:val="24"/>
          <w:szCs w:val="24"/>
        </w:rPr>
        <w:t xml:space="preserve"> (A-B)</w:t>
      </w:r>
      <w:r w:rsidRPr="0062710A">
        <w:rPr>
          <w:rFonts w:ascii="Arial" w:hAnsi="Arial" w:cs="Arial"/>
          <w:sz w:val="24"/>
          <w:szCs w:val="24"/>
        </w:rPr>
        <w:t>.</w:t>
      </w:r>
    </w:p>
    <w:p w14:paraId="75494A5C" w14:textId="0802CE3A" w:rsidR="008B352C" w:rsidRPr="0062710A" w:rsidRDefault="008B352C">
      <w:pPr>
        <w:widowControl/>
        <w:jc w:val="left"/>
        <w:rPr>
          <w:rFonts w:ascii="Arial" w:hAnsi="Arial" w:cs="Arial"/>
        </w:rPr>
      </w:pPr>
    </w:p>
    <w:p w14:paraId="53C0C371" w14:textId="77777777" w:rsidR="008B352C" w:rsidRPr="0062710A" w:rsidRDefault="008B352C">
      <w:pPr>
        <w:widowControl/>
        <w:jc w:val="left"/>
        <w:rPr>
          <w:rFonts w:ascii="Arial" w:hAnsi="Arial" w:cs="Arial"/>
        </w:rPr>
      </w:pPr>
    </w:p>
    <w:p w14:paraId="7920DAE2" w14:textId="3A476CAC" w:rsidR="008B352C" w:rsidRPr="0062710A" w:rsidRDefault="008B352C" w:rsidP="00B6767C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>Figure S</w:t>
      </w:r>
      <w:r w:rsidR="00807D62" w:rsidRPr="0062710A">
        <w:rPr>
          <w:rFonts w:ascii="Arial" w:hAnsi="Arial" w:cs="Arial"/>
          <w:sz w:val="24"/>
          <w:szCs w:val="24"/>
        </w:rPr>
        <w:t>3</w:t>
      </w:r>
      <w:r w:rsidRPr="0062710A">
        <w:rPr>
          <w:rFonts w:ascii="Arial" w:hAnsi="Arial" w:cs="Arial"/>
          <w:sz w:val="24"/>
          <w:szCs w:val="24"/>
        </w:rPr>
        <w:t>. Unsupervised clustering analysis of PRRs in one meta-cohort</w:t>
      </w:r>
      <w:r w:rsidR="003E734B">
        <w:rPr>
          <w:rFonts w:ascii="Arial" w:hAnsi="Arial" w:cs="Arial"/>
          <w:sz w:val="24"/>
          <w:szCs w:val="24"/>
        </w:rPr>
        <w:t xml:space="preserve"> (A-F)</w:t>
      </w:r>
      <w:r w:rsidRPr="0062710A">
        <w:rPr>
          <w:rFonts w:ascii="Arial" w:hAnsi="Arial" w:cs="Arial"/>
          <w:sz w:val="24"/>
          <w:szCs w:val="24"/>
        </w:rPr>
        <w:t>.</w:t>
      </w:r>
    </w:p>
    <w:p w14:paraId="588114BE" w14:textId="0C83D679" w:rsidR="008B352C" w:rsidRPr="0062710A" w:rsidRDefault="008B352C">
      <w:pPr>
        <w:rPr>
          <w:rFonts w:ascii="Arial" w:hAnsi="Arial" w:cs="Arial"/>
        </w:rPr>
      </w:pPr>
    </w:p>
    <w:p w14:paraId="38C79562" w14:textId="3FE76722" w:rsidR="00807D62" w:rsidRPr="0062710A" w:rsidRDefault="008B352C" w:rsidP="00A7547D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>Figure S</w:t>
      </w:r>
      <w:r w:rsidR="00807D62" w:rsidRPr="0062710A">
        <w:rPr>
          <w:rFonts w:ascii="Arial" w:hAnsi="Arial" w:cs="Arial"/>
          <w:sz w:val="24"/>
          <w:szCs w:val="24"/>
        </w:rPr>
        <w:t>4</w:t>
      </w:r>
      <w:r w:rsidRPr="0062710A">
        <w:rPr>
          <w:rFonts w:ascii="Arial" w:hAnsi="Arial" w:cs="Arial"/>
          <w:sz w:val="24"/>
          <w:szCs w:val="24"/>
        </w:rPr>
        <w:t xml:space="preserve">. Unsupervised clustering representation of 2632 </w:t>
      </w:r>
      <w:proofErr w:type="spellStart"/>
      <w:r w:rsidRPr="0062710A">
        <w:rPr>
          <w:rFonts w:ascii="Arial" w:hAnsi="Arial" w:cs="Arial"/>
          <w:sz w:val="24"/>
          <w:szCs w:val="24"/>
        </w:rPr>
        <w:t>pyroptosis</w:t>
      </w:r>
      <w:proofErr w:type="spellEnd"/>
      <w:r w:rsidRPr="0062710A">
        <w:rPr>
          <w:rFonts w:ascii="Arial" w:hAnsi="Arial" w:cs="Arial"/>
          <w:sz w:val="24"/>
          <w:szCs w:val="24"/>
        </w:rPr>
        <w:t>-related signature genes in one meta cohort</w:t>
      </w:r>
      <w:r w:rsidR="00337CCC">
        <w:rPr>
          <w:rFonts w:ascii="Arial" w:hAnsi="Arial" w:cs="Arial"/>
          <w:sz w:val="24"/>
          <w:szCs w:val="24"/>
        </w:rPr>
        <w:t xml:space="preserve"> (A-F)</w:t>
      </w:r>
      <w:r w:rsidRPr="0062710A">
        <w:rPr>
          <w:rFonts w:ascii="Arial" w:hAnsi="Arial" w:cs="Arial"/>
          <w:sz w:val="24"/>
          <w:szCs w:val="24"/>
        </w:rPr>
        <w:t>.</w:t>
      </w:r>
    </w:p>
    <w:p w14:paraId="1E3BD972" w14:textId="6E84F285" w:rsidR="00F85C37" w:rsidRPr="0062710A" w:rsidRDefault="00F85C37" w:rsidP="00B6767C">
      <w:pPr>
        <w:widowControl/>
        <w:jc w:val="left"/>
        <w:rPr>
          <w:rFonts w:ascii="Arial" w:hAnsi="Arial" w:cs="Arial"/>
          <w:sz w:val="24"/>
          <w:szCs w:val="24"/>
        </w:rPr>
      </w:pPr>
    </w:p>
    <w:p w14:paraId="5D3578EE" w14:textId="77777777" w:rsidR="00E93B44" w:rsidRPr="0062710A" w:rsidRDefault="00E93B44" w:rsidP="00A7547D">
      <w:pPr>
        <w:rPr>
          <w:rFonts w:ascii="Arial" w:hAnsi="Arial" w:cs="Arial"/>
          <w:sz w:val="24"/>
          <w:szCs w:val="24"/>
        </w:rPr>
      </w:pPr>
    </w:p>
    <w:p w14:paraId="5EA8364A" w14:textId="1EA4B7EB" w:rsidR="005444F9" w:rsidRPr="0062710A" w:rsidRDefault="00807D62" w:rsidP="00B6767C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 xml:space="preserve">Figure S5. Unsupervised clustering of overlapping </w:t>
      </w:r>
      <w:r w:rsidR="00861C88" w:rsidRPr="0062710A">
        <w:rPr>
          <w:rFonts w:ascii="Arial" w:hAnsi="Arial" w:cs="Arial"/>
          <w:sz w:val="24"/>
          <w:szCs w:val="24"/>
        </w:rPr>
        <w:t>differentially expressed genes</w:t>
      </w:r>
      <w:r w:rsidRPr="0062710A">
        <w:rPr>
          <w:rFonts w:ascii="Arial" w:hAnsi="Arial" w:cs="Arial"/>
          <w:sz w:val="24"/>
          <w:szCs w:val="24"/>
        </w:rPr>
        <w:t xml:space="preserve"> associated with the pyro-cluster to classify patients into different genomic subtypes, termed as pyro-gene cluster I, II and III respectively. The survival status, stage, phenotype, HER2+, PR+, ER+, gender, pyro-cluster, pyro-gene cluster were used as patient annotations.</w:t>
      </w:r>
    </w:p>
    <w:p w14:paraId="577D1CED" w14:textId="0349137D" w:rsidR="00A64D01" w:rsidRPr="0062710A" w:rsidRDefault="00A64D01" w:rsidP="00A7547D">
      <w:pPr>
        <w:rPr>
          <w:rFonts w:ascii="Arial" w:hAnsi="Arial" w:cs="Arial"/>
          <w:sz w:val="24"/>
          <w:szCs w:val="24"/>
        </w:rPr>
      </w:pPr>
    </w:p>
    <w:p w14:paraId="0BF8A185" w14:textId="7D1AA54C" w:rsidR="00807D62" w:rsidRPr="0062710A" w:rsidRDefault="00DC31E9" w:rsidP="00B6767C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 w:hint="eastAsia"/>
          <w:sz w:val="24"/>
          <w:szCs w:val="24"/>
        </w:rPr>
        <w:t>F</w:t>
      </w:r>
      <w:r w:rsidRPr="0062710A">
        <w:rPr>
          <w:rFonts w:ascii="Arial" w:hAnsi="Arial" w:cs="Arial"/>
          <w:sz w:val="24"/>
          <w:szCs w:val="24"/>
        </w:rPr>
        <w:t xml:space="preserve">igure 6. Construction and comparison of the </w:t>
      </w:r>
      <w:proofErr w:type="spellStart"/>
      <w:r w:rsidRPr="0062710A">
        <w:rPr>
          <w:rFonts w:ascii="Arial" w:hAnsi="Arial" w:cs="Arial"/>
          <w:sz w:val="24"/>
          <w:szCs w:val="24"/>
        </w:rPr>
        <w:t>pyroptosis</w:t>
      </w:r>
      <w:proofErr w:type="spellEnd"/>
      <w:r w:rsidRPr="0062710A">
        <w:rPr>
          <w:rFonts w:ascii="Arial" w:hAnsi="Arial" w:cs="Arial"/>
          <w:sz w:val="24"/>
          <w:szCs w:val="24"/>
        </w:rPr>
        <w:t>-mediated prognostic model with other established autophagy and ferroptosis-related signature in breast cancer. (A, B)</w:t>
      </w:r>
      <w:r w:rsidR="00951A53" w:rsidRPr="0062710A">
        <w:rPr>
          <w:rFonts w:ascii="Arial" w:hAnsi="Arial" w:cs="Arial"/>
          <w:sz w:val="24"/>
          <w:szCs w:val="24"/>
        </w:rPr>
        <w:t xml:space="preserve"> The LASSO regression analysis and partial likelihood deviance on the prognostic genes. (C, D) Comparison of the </w:t>
      </w:r>
      <w:proofErr w:type="spellStart"/>
      <w:r w:rsidR="00951A53" w:rsidRPr="0062710A">
        <w:rPr>
          <w:rFonts w:ascii="Arial" w:hAnsi="Arial" w:cs="Arial"/>
          <w:sz w:val="24"/>
          <w:szCs w:val="24"/>
        </w:rPr>
        <w:t>pyroptosis</w:t>
      </w:r>
      <w:proofErr w:type="spellEnd"/>
      <w:r w:rsidR="00951A53" w:rsidRPr="0062710A">
        <w:rPr>
          <w:rFonts w:ascii="Arial" w:hAnsi="Arial" w:cs="Arial"/>
          <w:sz w:val="24"/>
          <w:szCs w:val="24"/>
        </w:rPr>
        <w:t xml:space="preserve">-mediated clinical model with the identified gene signature in terms of their prognostic value and predictive accuracy. </w:t>
      </w:r>
    </w:p>
    <w:p w14:paraId="1D5F4455" w14:textId="77777777" w:rsidR="00A64D01" w:rsidRPr="0062710A" w:rsidRDefault="00A64D01" w:rsidP="00A7547D">
      <w:pPr>
        <w:rPr>
          <w:rFonts w:ascii="Arial" w:hAnsi="Arial" w:cs="Arial"/>
          <w:sz w:val="24"/>
          <w:szCs w:val="24"/>
        </w:rPr>
      </w:pPr>
    </w:p>
    <w:p w14:paraId="6CAA42BF" w14:textId="10EF9B1B" w:rsidR="0093670B" w:rsidRPr="0062710A" w:rsidRDefault="005444F9" w:rsidP="00A7547D">
      <w:pPr>
        <w:rPr>
          <w:rFonts w:ascii="Arial" w:hAnsi="Arial" w:cs="Arial"/>
          <w:sz w:val="24"/>
          <w:szCs w:val="24"/>
        </w:rPr>
      </w:pPr>
      <w:r w:rsidRPr="0062710A">
        <w:rPr>
          <w:rFonts w:ascii="Arial" w:hAnsi="Arial" w:cs="Arial"/>
          <w:sz w:val="24"/>
          <w:szCs w:val="24"/>
        </w:rPr>
        <w:t>Figure S</w:t>
      </w:r>
      <w:r w:rsidR="00A64D01" w:rsidRPr="0062710A">
        <w:rPr>
          <w:rFonts w:ascii="Arial" w:hAnsi="Arial" w:cs="Arial"/>
          <w:sz w:val="24"/>
          <w:szCs w:val="24"/>
        </w:rPr>
        <w:t>7</w:t>
      </w:r>
      <w:r w:rsidRPr="0062710A">
        <w:rPr>
          <w:rFonts w:ascii="Arial" w:hAnsi="Arial" w:cs="Arial"/>
          <w:sz w:val="24"/>
          <w:szCs w:val="24"/>
        </w:rPr>
        <w:t>. Estimation of the role of the pyro-score in survival analysis and chemotherapeutic efficacy.</w:t>
      </w:r>
      <w:r w:rsidR="00A64D01" w:rsidRPr="0062710A">
        <w:rPr>
          <w:rFonts w:ascii="Arial" w:hAnsi="Arial" w:cs="Arial"/>
          <w:sz w:val="24"/>
          <w:szCs w:val="24"/>
        </w:rPr>
        <w:t xml:space="preserve"> </w:t>
      </w:r>
      <w:r w:rsidR="00F21644" w:rsidRPr="0062710A">
        <w:rPr>
          <w:rFonts w:ascii="Arial" w:hAnsi="Arial" w:cs="Arial"/>
          <w:sz w:val="24"/>
          <w:szCs w:val="24"/>
        </w:rPr>
        <w:t xml:space="preserve">(A) Subgroup analysis of BC classical classification demonstrated that patients with luminal A, B and basal-like subgroup could benefit from the pyro-score. (B) </w:t>
      </w:r>
      <w:r w:rsidR="00DC31E9" w:rsidRPr="0062710A">
        <w:rPr>
          <w:rFonts w:ascii="Arial" w:hAnsi="Arial" w:cs="Arial"/>
          <w:sz w:val="24"/>
          <w:szCs w:val="24"/>
        </w:rPr>
        <w:t>Relative distribution of IC50 for chemotherapeutic drugs commonly used in clinical practice between pyro-score high versus low group.</w:t>
      </w:r>
    </w:p>
    <w:p w14:paraId="531E17E0" w14:textId="77777777" w:rsidR="0093670B" w:rsidRDefault="0093670B">
      <w:pPr>
        <w:widowControl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67"/>
        <w:gridCol w:w="658"/>
        <w:gridCol w:w="667"/>
        <w:gridCol w:w="667"/>
        <w:gridCol w:w="667"/>
        <w:gridCol w:w="667"/>
        <w:gridCol w:w="742"/>
        <w:gridCol w:w="758"/>
        <w:gridCol w:w="650"/>
        <w:gridCol w:w="750"/>
      </w:tblGrid>
      <w:tr w:rsidR="0093670B" w:rsidRPr="00F271A3" w14:paraId="0D414A15" w14:textId="77777777" w:rsidTr="003B6946"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3E692" w14:textId="77777777" w:rsidR="0093670B" w:rsidRPr="00F271A3" w:rsidRDefault="0093670B" w:rsidP="003B6946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lastRenderedPageBreak/>
              <w:t xml:space="preserve">Table S1 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Characteristics of copy number variation of typical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pyroptosis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-related regulators in breast cancer</w:t>
            </w:r>
          </w:p>
        </w:tc>
      </w:tr>
      <w:tr w:rsidR="0093670B" w:rsidRPr="00F271A3" w14:paraId="13302742" w14:textId="77777777" w:rsidTr="003B6946"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3AF5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A2A80CA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CASP3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6B9B733D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GZMA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45A0CB4B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CASP4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44A3D7E2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CASP5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5C9DD88F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CASP1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2E89CF86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CASP8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77EB1EE5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GSDME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20D2185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GSDMD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CCB953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GZMB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4927B3F9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GSDMB</w:t>
            </w:r>
          </w:p>
        </w:tc>
      </w:tr>
      <w:tr w:rsidR="0093670B" w:rsidRPr="00F271A3" w14:paraId="3456620C" w14:textId="77777777" w:rsidTr="003B6946"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395ED39D" w14:textId="77777777" w:rsidR="0093670B" w:rsidRPr="00B14E36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B14E3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Homogenous deletion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(No.)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5E8F03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45396EA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25D1664D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D4E62E6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33503F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3E62905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3FC07C42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66BC8D7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004CA4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2D0EE6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</w:tr>
      <w:tr w:rsidR="0093670B" w:rsidRPr="00F271A3" w14:paraId="3C227648" w14:textId="77777777" w:rsidTr="003B69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FC4764" w14:textId="77777777" w:rsidR="0093670B" w:rsidRPr="00B14E36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B14E3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Heterozygous deletion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(No.)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4BA9C9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BD519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EF27CE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D6D48B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A48FA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277ACA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9E8D1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97B94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AB671A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9F44E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</w:tr>
      <w:tr w:rsidR="0093670B" w:rsidRPr="00F271A3" w14:paraId="74C88BB3" w14:textId="77777777" w:rsidTr="003B69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207C61" w14:textId="77777777" w:rsidR="0093670B" w:rsidRPr="00B14E36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B14E3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Low-level amplification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(No.)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504F0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F3DB49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307E60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CF04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4AD7F7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4C087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9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ED2F5F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3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3F123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4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A9FB5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1BA653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</w:tr>
      <w:tr w:rsidR="0093670B" w:rsidRPr="00F271A3" w14:paraId="240CE56F" w14:textId="77777777" w:rsidTr="003B69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A45227" w14:textId="77777777" w:rsidR="0093670B" w:rsidRPr="00B14E36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B14E3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High-level amplification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(No.)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F09362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53020C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827255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68F6E7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D4D576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0DC5AA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64F4A2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09B7A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D7627B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E9AFDF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17</w:t>
            </w:r>
          </w:p>
        </w:tc>
      </w:tr>
      <w:tr w:rsidR="0093670B" w:rsidRPr="00F271A3" w14:paraId="5DD29765" w14:textId="77777777" w:rsidTr="003B6946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A9869" w14:textId="77777777" w:rsidR="0093670B" w:rsidRPr="00B14E36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B14E3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Mean level of amplification</w:t>
            </w:r>
            <w: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(No.)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5B9C2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3F12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6A541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E9924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5E706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CAF38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.384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AA93F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.509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BAEAD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9060E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0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.475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A0D71" w14:textId="77777777" w:rsidR="0093670B" w:rsidRPr="00F271A3" w:rsidRDefault="0093670B" w:rsidP="003B694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271A3"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F271A3">
              <w:rPr>
                <w:rFonts w:ascii="Times New Roman" w:hAnsi="Times New Roman" w:cs="Times New Roman"/>
                <w:sz w:val="15"/>
                <w:szCs w:val="15"/>
              </w:rPr>
              <w:t>.436</w:t>
            </w:r>
          </w:p>
        </w:tc>
      </w:tr>
      <w:tr w:rsidR="0093670B" w:rsidRPr="00F271A3" w14:paraId="68145340" w14:textId="77777777" w:rsidTr="003B6946">
        <w:tc>
          <w:tcPr>
            <w:tcW w:w="0" w:type="auto"/>
            <w:gridSpan w:val="11"/>
            <w:tcBorders>
              <w:left w:val="nil"/>
              <w:bottom w:val="nil"/>
              <w:right w:val="nil"/>
            </w:tcBorders>
          </w:tcPr>
          <w:p w14:paraId="7306D488" w14:textId="79BFCE01" w:rsidR="0093670B" w:rsidRPr="004C23A7" w:rsidRDefault="0093670B" w:rsidP="003B6946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4C23A7">
              <w:rPr>
                <w:rFonts w:ascii="Times New Roman" w:hAnsi="Times New Roman" w:cs="Times New Roman" w:hint="eastAsia"/>
                <w:b/>
                <w:bCs/>
                <w:sz w:val="15"/>
                <w:szCs w:val="15"/>
              </w:rPr>
              <w:t>N</w:t>
            </w:r>
            <w:r w:rsidRPr="004C23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o. The number of </w:t>
            </w:r>
            <w:r w:rsidR="005F2E22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breast cancer </w:t>
            </w:r>
            <w:r w:rsidRPr="004C23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patients who carried amplification or deletion of </w:t>
            </w:r>
            <w:proofErr w:type="spellStart"/>
            <w:r w:rsidRPr="004C23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pyroptosis</w:t>
            </w:r>
            <w:proofErr w:type="spellEnd"/>
            <w:r w:rsidRPr="004C23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-related regulators.</w:t>
            </w:r>
          </w:p>
        </w:tc>
      </w:tr>
    </w:tbl>
    <w:p w14:paraId="3590D95D" w14:textId="77777777" w:rsidR="005444F9" w:rsidRPr="0093670B" w:rsidRDefault="005444F9" w:rsidP="00A7547D">
      <w:pPr>
        <w:rPr>
          <w:rFonts w:ascii="Arial" w:hAnsi="Arial" w:cs="Arial"/>
          <w:sz w:val="24"/>
          <w:szCs w:val="24"/>
        </w:rPr>
      </w:pPr>
    </w:p>
    <w:sectPr w:rsidR="005444F9" w:rsidRPr="00936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F0392" w14:textId="77777777" w:rsidR="001C3210" w:rsidRDefault="001C3210" w:rsidP="005444F9">
      <w:r>
        <w:separator/>
      </w:r>
    </w:p>
  </w:endnote>
  <w:endnote w:type="continuationSeparator" w:id="0">
    <w:p w14:paraId="31C31818" w14:textId="77777777" w:rsidR="001C3210" w:rsidRDefault="001C3210" w:rsidP="0054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B4AF5" w14:textId="77777777" w:rsidR="001C3210" w:rsidRDefault="001C3210" w:rsidP="005444F9">
      <w:r>
        <w:separator/>
      </w:r>
    </w:p>
  </w:footnote>
  <w:footnote w:type="continuationSeparator" w:id="0">
    <w:p w14:paraId="0BDAA9B8" w14:textId="77777777" w:rsidR="001C3210" w:rsidRDefault="001C3210" w:rsidP="00544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823"/>
    <w:rsid w:val="000337E7"/>
    <w:rsid w:val="0009456B"/>
    <w:rsid w:val="001221C2"/>
    <w:rsid w:val="00145CA9"/>
    <w:rsid w:val="001815BC"/>
    <w:rsid w:val="001C3210"/>
    <w:rsid w:val="00220823"/>
    <w:rsid w:val="002A2AD8"/>
    <w:rsid w:val="002B6200"/>
    <w:rsid w:val="00337CCC"/>
    <w:rsid w:val="003C1CF5"/>
    <w:rsid w:val="003E734B"/>
    <w:rsid w:val="004813DE"/>
    <w:rsid w:val="005444F9"/>
    <w:rsid w:val="00571D20"/>
    <w:rsid w:val="005A08F0"/>
    <w:rsid w:val="005F2E22"/>
    <w:rsid w:val="0062710A"/>
    <w:rsid w:val="006A1B09"/>
    <w:rsid w:val="006B14F2"/>
    <w:rsid w:val="007038E3"/>
    <w:rsid w:val="00730677"/>
    <w:rsid w:val="00780F35"/>
    <w:rsid w:val="00783397"/>
    <w:rsid w:val="00791EDE"/>
    <w:rsid w:val="00807D62"/>
    <w:rsid w:val="00861C88"/>
    <w:rsid w:val="008B352C"/>
    <w:rsid w:val="008F0E06"/>
    <w:rsid w:val="0093670B"/>
    <w:rsid w:val="00951A53"/>
    <w:rsid w:val="00986CDC"/>
    <w:rsid w:val="00A64D01"/>
    <w:rsid w:val="00A7547D"/>
    <w:rsid w:val="00AA6BF9"/>
    <w:rsid w:val="00AE2C7D"/>
    <w:rsid w:val="00B6767C"/>
    <w:rsid w:val="00D002E2"/>
    <w:rsid w:val="00DC31E9"/>
    <w:rsid w:val="00E93B44"/>
    <w:rsid w:val="00F21644"/>
    <w:rsid w:val="00F85C37"/>
    <w:rsid w:val="00FB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E7206"/>
  <w15:chartTrackingRefBased/>
  <w15:docId w15:val="{610DB8A5-4113-43F4-9B36-BC6FFACD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4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444F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44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44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660B5-BCE6-42EE-8D1F-ADC542BA5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36c50b-363d-4a7d-adb0-cfd422105622"/>
    <ds:schemaRef ds:uri="86f7edec-793f-422f-bf86-565db80f0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792EC-58CD-4E5B-AE19-2A3F6F6B68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89B19A-D8B6-42F2-AB3D-9607F15B9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B095B8-2686-4D1F-9B23-60A661B73C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Lijun Xu</dc:creator>
  <cp:keywords/>
  <dc:description/>
  <cp:lastModifiedBy>Patel, Sonam Kajal</cp:lastModifiedBy>
  <cp:revision>7</cp:revision>
  <dcterms:created xsi:type="dcterms:W3CDTF">2021-12-22T18:38:00Z</dcterms:created>
  <dcterms:modified xsi:type="dcterms:W3CDTF">2021-12-22T20:51:00Z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